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07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</w:t>
      </w:r>
    </w:p>
    <w:p w:rsidR="00D31EA0" w:rsidRPr="00363107" w:rsidRDefault="00363107" w:rsidP="00D31EA0">
      <w:pPr>
        <w:spacing w:line="240" w:lineRule="auto"/>
        <w:ind w:left="2124"/>
        <w:rPr>
          <w:b/>
          <w:color w:val="006666"/>
          <w:sz w:val="24"/>
          <w:szCs w:val="24"/>
          <w:lang w:val="en-US"/>
        </w:rPr>
      </w:pPr>
      <w:r w:rsidRPr="00363107">
        <w:rPr>
          <w:b/>
          <w:color w:val="006666"/>
          <w:sz w:val="24"/>
          <w:szCs w:val="24"/>
          <w:lang w:val="en-US"/>
        </w:rPr>
        <w:t>Talent Searchers Providing Experiences</w:t>
      </w:r>
      <w:r w:rsidR="00D31EA0" w:rsidRPr="00363107">
        <w:rPr>
          <w:b/>
          <w:noProof/>
          <w:color w:val="006666"/>
          <w:sz w:val="24"/>
          <w:szCs w:val="24"/>
          <w:lang w:val="en-US" w:eastAsia="es-ES"/>
        </w:rPr>
        <w:t xml:space="preserve"> </w:t>
      </w:r>
      <w:r w:rsidR="00D31EA0" w:rsidRPr="00363107">
        <w:rPr>
          <w:b/>
          <w:color w:val="006666"/>
          <w:sz w:val="24"/>
          <w:szCs w:val="24"/>
          <w:lang w:val="en-US"/>
        </w:rPr>
        <w:t xml:space="preserve">   </w:t>
      </w:r>
    </w:p>
    <w:p w:rsidR="00C33AE7" w:rsidRPr="00363107" w:rsidRDefault="00B52B4B" w:rsidP="00C33AE7">
      <w:pPr>
        <w:ind w:left="993"/>
        <w:rPr>
          <w:rFonts w:ascii="Century Gothic" w:hAnsi="Century Gothic"/>
          <w:color w:val="006D67"/>
          <w:sz w:val="16"/>
          <w:szCs w:val="16"/>
          <w:lang w:val="en-US"/>
        </w:rPr>
      </w:pPr>
      <w:r>
        <w:rPr>
          <w:rFonts w:ascii="Century Gothic" w:hAnsi="Century Gothic"/>
          <w:noProof/>
          <w:color w:val="006D67"/>
          <w:sz w:val="16"/>
          <w:szCs w:val="16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159385</wp:posOffset>
            </wp:positionV>
            <wp:extent cx="3095625" cy="2066925"/>
            <wp:effectExtent l="19050" t="0" r="9525" b="0"/>
            <wp:wrapNone/>
            <wp:docPr id="2" name="Imagen 4" descr="http://www.planetware.com/photos-large/D/hamburg-city-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netware.com/photos-large/D/hamburg-city-h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B4B" w:rsidRDefault="00B52B4B" w:rsidP="00B52B4B">
      <w:pPr>
        <w:spacing w:after="0" w:line="240" w:lineRule="auto"/>
        <w:ind w:right="375"/>
        <w:outlineLvl w:val="0"/>
        <w:rPr>
          <w:rFonts w:ascii="Century Gothic" w:eastAsia="Times New Roman" w:hAnsi="Century Gothic" w:cs="Times New Roman"/>
          <w:color w:val="006D67"/>
          <w:kern w:val="36"/>
          <w:sz w:val="36"/>
          <w:szCs w:val="36"/>
          <w:lang w:val="en-US" w:eastAsia="es-ES"/>
        </w:rPr>
      </w:pPr>
      <w:r w:rsidRPr="00B52B4B">
        <w:rPr>
          <w:rFonts w:ascii="Century Gothic" w:eastAsia="Times New Roman" w:hAnsi="Century Gothic" w:cs="Times New Roman"/>
          <w:color w:val="006D67"/>
          <w:kern w:val="36"/>
          <w:sz w:val="36"/>
          <w:szCs w:val="36"/>
          <w:lang w:val="en-US" w:eastAsia="es-ES"/>
        </w:rPr>
        <w:t xml:space="preserve">Product Management </w:t>
      </w:r>
    </w:p>
    <w:p w:rsidR="00B52B4B" w:rsidRPr="00B52B4B" w:rsidRDefault="00B52B4B" w:rsidP="00B52B4B">
      <w:pPr>
        <w:spacing w:after="0" w:line="240" w:lineRule="auto"/>
        <w:ind w:right="375"/>
        <w:outlineLvl w:val="0"/>
        <w:rPr>
          <w:rFonts w:ascii="Century Gothic" w:eastAsia="Times New Roman" w:hAnsi="Century Gothic" w:cs="Times New Roman"/>
          <w:color w:val="006D67"/>
          <w:kern w:val="36"/>
          <w:sz w:val="36"/>
          <w:szCs w:val="36"/>
          <w:lang w:val="en-US" w:eastAsia="es-ES"/>
        </w:rPr>
      </w:pPr>
      <w:r w:rsidRPr="00B52B4B">
        <w:rPr>
          <w:rFonts w:ascii="Century Gothic" w:eastAsia="Times New Roman" w:hAnsi="Century Gothic" w:cs="Times New Roman"/>
          <w:color w:val="006D67"/>
          <w:kern w:val="36"/>
          <w:sz w:val="36"/>
          <w:szCs w:val="36"/>
          <w:lang w:val="en-US" w:eastAsia="es-ES"/>
        </w:rPr>
        <w:t>&amp; Service</w:t>
      </w:r>
      <w:r>
        <w:rPr>
          <w:rFonts w:ascii="Century Gothic" w:eastAsia="Times New Roman" w:hAnsi="Century Gothic" w:cs="Times New Roman"/>
          <w:color w:val="006D67"/>
          <w:kern w:val="36"/>
          <w:sz w:val="36"/>
          <w:szCs w:val="36"/>
          <w:lang w:val="en-US" w:eastAsia="es-ES"/>
        </w:rPr>
        <w:t xml:space="preserve"> (Polish Native)</w:t>
      </w:r>
    </w:p>
    <w:p w:rsidR="00363107" w:rsidRPr="00363107" w:rsidRDefault="00363107" w:rsidP="007F7C7C">
      <w:pPr>
        <w:ind w:left="993"/>
        <w:rPr>
          <w:color w:val="006666"/>
          <w:sz w:val="16"/>
          <w:szCs w:val="16"/>
          <w:lang w:val="en-US"/>
        </w:rPr>
      </w:pP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 w:rsidRPr="00777CCA">
        <w:rPr>
          <w:color w:val="006666"/>
          <w:lang w:val="en-US"/>
        </w:rPr>
        <w:t xml:space="preserve">WHERE? </w:t>
      </w:r>
      <w:proofErr w:type="spellStart"/>
      <w:r w:rsidR="00B52B4B">
        <w:rPr>
          <w:lang w:val="en-US"/>
        </w:rPr>
        <w:t>Hamburg</w:t>
      </w:r>
      <w:proofErr w:type="gramStart"/>
      <w:r w:rsidRPr="00122D66">
        <w:rPr>
          <w:lang w:val="en-US"/>
        </w:rPr>
        <w:t>,</w:t>
      </w:r>
      <w:r w:rsidR="00B52B4B">
        <w:rPr>
          <w:lang w:val="en-US"/>
        </w:rPr>
        <w:t>Germany</w:t>
      </w:r>
      <w:proofErr w:type="spellEnd"/>
      <w:proofErr w:type="gramEnd"/>
    </w:p>
    <w:p w:rsidR="00122D66" w:rsidRPr="00122D66" w:rsidRDefault="00122D66" w:rsidP="007F7C7C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B52B4B">
        <w:rPr>
          <w:lang w:val="en-US"/>
        </w:rPr>
        <w:t xml:space="preserve">Start date </w:t>
      </w:r>
      <w:proofErr w:type="spellStart"/>
      <w:r w:rsidR="00B52B4B">
        <w:rPr>
          <w:lang w:val="en-US"/>
        </w:rPr>
        <w:t>flexbile</w:t>
      </w:r>
      <w:proofErr w:type="spellEnd"/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714ABA">
        <w:rPr>
          <w:lang w:val="en-US"/>
        </w:rPr>
        <w:t>3</w:t>
      </w:r>
      <w:r w:rsidRPr="00122D66">
        <w:rPr>
          <w:lang w:val="en-US"/>
        </w:rPr>
        <w:t xml:space="preserve"> months</w:t>
      </w:r>
      <w:r w:rsidR="00714ABA">
        <w:rPr>
          <w:lang w:val="en-US"/>
        </w:rPr>
        <w:t xml:space="preserve"> minimum</w:t>
      </w:r>
    </w:p>
    <w:p w:rsidR="008868B2" w:rsidRPr="00E44ACA" w:rsidRDefault="00122D66" w:rsidP="00E44ACA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proofErr w:type="gramStart"/>
      <w:r w:rsidRPr="00122D66">
        <w:rPr>
          <w:lang w:val="en-US"/>
        </w:rPr>
        <w:t>full</w:t>
      </w:r>
      <w:proofErr w:type="gramEnd"/>
      <w:r w:rsidRPr="00122D66">
        <w:rPr>
          <w:lang w:val="en-US"/>
        </w:rPr>
        <w:t xml:space="preserve"> time, 40h/week</w:t>
      </w:r>
    </w:p>
    <w:p w:rsidR="00B52B4B" w:rsidRPr="00B52B4B" w:rsidRDefault="00B52B4B" w:rsidP="00122D66">
      <w:pPr>
        <w:ind w:left="1416"/>
        <w:rPr>
          <w:rFonts w:ascii="Century Gothic" w:hAnsi="Century Gothic"/>
          <w:sz w:val="18"/>
          <w:szCs w:val="18"/>
          <w:lang w:val="en-US"/>
        </w:rPr>
      </w:pPr>
      <w:r w:rsidRPr="00B52B4B">
        <w:rPr>
          <w:rFonts w:ascii="Century Gothic" w:hAnsi="Century Gothic"/>
          <w:sz w:val="18"/>
          <w:szCs w:val="18"/>
          <w:lang w:val="en-US"/>
        </w:rPr>
        <w:t>Our client company is an online company in the touristic sector. Their main business concentrates on a comparison website for rental cars in Europe. Settled in Hamburg you will be part of a young and dynamic team in which you will get the chance to propose your own ideas and take part in the creation of a new website for the Polish market.</w:t>
      </w:r>
    </w:p>
    <w:p w:rsidR="00122D66" w:rsidRPr="00C33AE7" w:rsidRDefault="00122D66" w:rsidP="00122D66">
      <w:pPr>
        <w:ind w:left="1416"/>
        <w:rPr>
          <w:b/>
          <w:color w:val="008080"/>
          <w:lang w:val="en-US"/>
        </w:rPr>
      </w:pPr>
      <w:r w:rsidRPr="00C33AE7">
        <w:rPr>
          <w:b/>
          <w:color w:val="008080"/>
          <w:lang w:val="en-US"/>
        </w:rPr>
        <w:t xml:space="preserve">The tasks are varied: </w:t>
      </w:r>
    </w:p>
    <w:p w:rsidR="00714ABA" w:rsidRPr="00B52B4B" w:rsidRDefault="00714ABA" w:rsidP="00B52B4B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  <w:r w:rsidRPr="00B52B4B">
        <w:rPr>
          <w:rFonts w:ascii="Century Gothic" w:hAnsi="Century Gothic"/>
          <w:sz w:val="18"/>
          <w:szCs w:val="18"/>
          <w:lang w:val="en-US"/>
        </w:rPr>
        <w:t xml:space="preserve">- 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t>During your internship your will pass the following tasks</w:t>
      </w:r>
      <w:proofErr w:type="gramStart"/>
      <w:r w:rsidR="00B52B4B" w:rsidRPr="00B52B4B">
        <w:rPr>
          <w:rFonts w:ascii="Century Gothic" w:hAnsi="Century Gothic"/>
          <w:sz w:val="18"/>
          <w:szCs w:val="18"/>
          <w:lang w:val="en-US"/>
        </w:rPr>
        <w:t>:</w:t>
      </w:r>
      <w:proofErr w:type="gramEnd"/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checking and changing offers at the website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enlarge the product portfolio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contact person for the clients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learn to work with Content Management Systems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deep insights in the online travel market and Online Marketing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possibility to propose your own ideas to improve the marketing strategies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</w:r>
      <w:r w:rsidR="00B52B4B" w:rsidRPr="00B52B4B">
        <w:rPr>
          <w:rFonts w:ascii="Century Gothic" w:hAnsi="Century Gothic"/>
          <w:b/>
          <w:color w:val="008080"/>
          <w:sz w:val="18"/>
          <w:szCs w:val="18"/>
          <w:lang w:val="en-US"/>
        </w:rPr>
        <w:t>PLEASE NOTE: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voluntary internships (maximum 3 months)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br/>
        <w:t>- compulsory internships (minimum 3 months)</w:t>
      </w:r>
    </w:p>
    <w:p w:rsidR="00B52B4B" w:rsidRPr="00B52B4B" w:rsidRDefault="00B52B4B" w:rsidP="00B52B4B">
      <w:pPr>
        <w:spacing w:after="0"/>
        <w:ind w:left="1416"/>
        <w:rPr>
          <w:rFonts w:ascii="Century Gothic" w:hAnsi="Century Gothic"/>
          <w:sz w:val="18"/>
          <w:szCs w:val="18"/>
          <w:lang w:val="en-US"/>
        </w:rPr>
      </w:pPr>
    </w:p>
    <w:p w:rsidR="00122D66" w:rsidRPr="00122D66" w:rsidRDefault="008868B2" w:rsidP="00714ABA">
      <w:pPr>
        <w:spacing w:after="0"/>
        <w:ind w:left="1416"/>
        <w:rPr>
          <w:b/>
          <w:color w:val="006666"/>
          <w:lang w:val="en-US"/>
        </w:rPr>
      </w:pPr>
      <w:r w:rsidRPr="00363107">
        <w:rPr>
          <w:rFonts w:ascii="Century Gothic" w:hAnsi="Century Gothic"/>
          <w:b/>
          <w:color w:val="008080"/>
          <w:sz w:val="18"/>
          <w:szCs w:val="18"/>
          <w:lang w:val="en-US"/>
        </w:rPr>
        <w:t>We</w:t>
      </w:r>
      <w:r w:rsidRPr="00363107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="00122D66" w:rsidRPr="00363107">
        <w:rPr>
          <w:b/>
          <w:color w:val="006666"/>
          <w:lang w:val="en-US"/>
        </w:rPr>
        <w:t>a</w:t>
      </w:r>
      <w:r w:rsidR="00122D66" w:rsidRPr="00122D66">
        <w:rPr>
          <w:b/>
          <w:color w:val="006666"/>
          <w:lang w:val="en-US"/>
        </w:rPr>
        <w:t>re looking for:</w:t>
      </w:r>
    </w:p>
    <w:p w:rsidR="00B52B4B" w:rsidRPr="00B52B4B" w:rsidRDefault="00122D66" w:rsidP="00B52B4B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</w:t>
      </w:r>
      <w:r w:rsidR="00612FA8" w:rsidRPr="00612FA8">
        <w:rPr>
          <w:rFonts w:ascii="Century Gothic" w:hAnsi="Century Gothic"/>
          <w:sz w:val="18"/>
          <w:szCs w:val="18"/>
          <w:lang w:val="en-US"/>
        </w:rPr>
        <w:t>Busine</w:t>
      </w:r>
      <w:r w:rsidR="00714ABA">
        <w:rPr>
          <w:rFonts w:ascii="Century Gothic" w:hAnsi="Century Gothic"/>
          <w:sz w:val="18"/>
          <w:szCs w:val="18"/>
          <w:lang w:val="en-US"/>
        </w:rPr>
        <w:t>ss, Tourism, Hospitality, Languages</w:t>
      </w:r>
    </w:p>
    <w:p w:rsidR="00B52B4B" w:rsidRPr="00B52B4B" w:rsidRDefault="00122D66" w:rsidP="00B52B4B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52B4B">
        <w:rPr>
          <w:lang w:val="en-US"/>
        </w:rPr>
        <w:t xml:space="preserve">Languages:  </w:t>
      </w:r>
      <w:r w:rsidR="00B52B4B" w:rsidRPr="00B52B4B">
        <w:rPr>
          <w:rFonts w:ascii="Century Gothic" w:hAnsi="Century Gothic"/>
          <w:sz w:val="18"/>
          <w:szCs w:val="18"/>
          <w:lang w:val="en-US"/>
        </w:rPr>
        <w:t>Polish (native), German (B1/B2)</w:t>
      </w:r>
    </w:p>
    <w:p w:rsidR="00122D66" w:rsidRPr="00B52B4B" w:rsidRDefault="00122D66" w:rsidP="00122D66">
      <w:pPr>
        <w:pStyle w:val="Prrafodelista"/>
        <w:numPr>
          <w:ilvl w:val="0"/>
          <w:numId w:val="5"/>
        </w:numPr>
        <w:spacing w:line="240" w:lineRule="auto"/>
        <w:ind w:left="1416"/>
        <w:rPr>
          <w:b/>
          <w:color w:val="006666"/>
          <w:lang w:val="en-US"/>
        </w:rPr>
      </w:pPr>
      <w:r w:rsidRPr="00B52B4B">
        <w:rPr>
          <w:b/>
          <w:color w:val="006666"/>
          <w:lang w:val="en-US"/>
        </w:rPr>
        <w:t>We offer:</w:t>
      </w:r>
    </w:p>
    <w:p w:rsidR="00122D66" w:rsidRPr="00714ABA" w:rsidRDefault="00122D66" w:rsidP="00122D66">
      <w:pPr>
        <w:pStyle w:val="Prrafodelista"/>
        <w:numPr>
          <w:ilvl w:val="0"/>
          <w:numId w:val="4"/>
        </w:numPr>
        <w:rPr>
          <w:b/>
          <w:lang w:val="en-US"/>
        </w:rPr>
      </w:pPr>
      <w:r w:rsidRPr="007F7C7C">
        <w:rPr>
          <w:lang w:val="en-US"/>
        </w:rPr>
        <w:t xml:space="preserve">Remuneration: </w:t>
      </w:r>
      <w:r w:rsidR="00B52B4B">
        <w:rPr>
          <w:b/>
          <w:sz w:val="32"/>
          <w:szCs w:val="32"/>
          <w:lang w:val="en-US"/>
        </w:rPr>
        <w:t>5</w:t>
      </w:r>
      <w:r w:rsidR="00E44ACA">
        <w:rPr>
          <w:b/>
          <w:sz w:val="32"/>
          <w:szCs w:val="32"/>
          <w:lang w:val="en-US"/>
        </w:rPr>
        <w:t>0</w:t>
      </w:r>
      <w:r w:rsidR="008868B2">
        <w:rPr>
          <w:b/>
          <w:sz w:val="32"/>
          <w:szCs w:val="32"/>
          <w:lang w:val="en-US"/>
        </w:rPr>
        <w:t>0</w:t>
      </w:r>
      <w:r w:rsidRPr="007F7C7C">
        <w:rPr>
          <w:b/>
          <w:sz w:val="32"/>
          <w:szCs w:val="32"/>
          <w:lang w:val="en-US"/>
        </w:rPr>
        <w:t>€/month</w:t>
      </w:r>
      <w:r w:rsidRPr="00714ABA">
        <w:rPr>
          <w:b/>
          <w:lang w:val="en-US"/>
        </w:rPr>
        <w:t xml:space="preserve"> </w:t>
      </w:r>
    </w:p>
    <w:p w:rsidR="00122D66" w:rsidRPr="007F7C7C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F7C7C">
        <w:rPr>
          <w:lang w:val="en-US"/>
        </w:rPr>
        <w:t>Interesting tasks, international and pleasant work environment</w:t>
      </w:r>
    </w:p>
    <w:p w:rsidR="00122D66" w:rsidRDefault="00363107" w:rsidP="00122D66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  <w:lang w:eastAsia="es-ES"/>
        </w:rPr>
        <w:pict>
          <v:rect id="_x0000_s1026" style="position:absolute;left:0;text-align:left;margin-left:47.45pt;margin-top:3.9pt;width:444.75pt;height:41.5pt;z-index:251662336" fillcolor="#bfbfbf [2412]" strokecolor="white [3212]">
            <v:fill opacity="19661f"/>
            <v:textbox style="mso-next-textbox:#_x0000_s1026">
              <w:txbxContent>
                <w:p w:rsidR="00122D66" w:rsidRPr="00B52B4B" w:rsidRDefault="00122D66" w:rsidP="00122D66">
                  <w:pPr>
                    <w:spacing w:line="240" w:lineRule="auto"/>
                    <w:rPr>
                      <w:color w:val="006666"/>
                      <w:lang w:val="en-US"/>
                    </w:rPr>
                  </w:pPr>
                  <w:r w:rsidRPr="00122D66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>APPLY NOW!</w:t>
                  </w:r>
                  <w:r w:rsidR="00363107">
                    <w:rPr>
                      <w:b/>
                      <w:color w:val="006666"/>
                      <w:sz w:val="28"/>
                      <w:szCs w:val="28"/>
                      <w:lang w:val="en-US"/>
                    </w:rPr>
                    <w:t xml:space="preserve"> </w:t>
                  </w:r>
                  <w:r w:rsidRPr="00122D66">
                    <w:rPr>
                      <w:color w:val="006666"/>
                      <w:lang w:val="en-US"/>
                    </w:rPr>
                    <w:t xml:space="preserve">Please send </w:t>
                  </w:r>
                  <w:r w:rsidR="007F7C7C">
                    <w:rPr>
                      <w:color w:val="006666"/>
                      <w:lang w:val="en-US"/>
                    </w:rPr>
                    <w:t xml:space="preserve">us </w:t>
                  </w:r>
                  <w:r w:rsidRPr="00122D66">
                    <w:rPr>
                      <w:color w:val="006666"/>
                      <w:lang w:val="en-US"/>
                    </w:rPr>
                    <w:t>y</w:t>
                  </w:r>
                  <w:r w:rsidR="00363107">
                    <w:rPr>
                      <w:color w:val="006666"/>
                      <w:lang w:val="en-US"/>
                    </w:rPr>
                    <w:t xml:space="preserve">our CV in English or Spanish on </w:t>
                  </w:r>
                  <w:r w:rsidR="00C33AE7" w:rsidRPr="00363107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praktyki</w:t>
                  </w:r>
                  <w:r w:rsidRPr="00363107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@ies-consulting.es</w:t>
                  </w:r>
                  <w:r w:rsidRPr="00122D66">
                    <w:rPr>
                      <w:color w:val="006666"/>
                      <w:lang w:val="en-US"/>
                    </w:rPr>
                    <w:t xml:space="preserve"> </w:t>
                  </w:r>
                  <w:r w:rsidR="007F7C7C">
                    <w:rPr>
                      <w:color w:val="006666"/>
                      <w:lang w:val="en-US"/>
                    </w:rPr>
                    <w:t>or register on our website</w:t>
                  </w:r>
                  <w:r w:rsidR="00FA5CD9" w:rsidRPr="00FA5CD9">
                    <w:rPr>
                      <w:lang w:val="en-US"/>
                    </w:rPr>
                    <w:t xml:space="preserve"> </w:t>
                  </w:r>
                  <w:hyperlink r:id="rId7" w:history="1">
                    <w:r w:rsidR="00B52B4B" w:rsidRPr="003F4B64">
                      <w:rPr>
                        <w:rStyle w:val="Hipervnculo"/>
                        <w:lang w:val="en-US"/>
                      </w:rPr>
                      <w:t>http://www.ies-consulting.pl/formularz_dla_studenta.php</w:t>
                    </w:r>
                  </w:hyperlink>
                  <w:r w:rsidR="00B52B4B">
                    <w:rPr>
                      <w:lang w:val="en-US"/>
                    </w:rPr>
                    <w:t xml:space="preserve"> </w:t>
                  </w:r>
                </w:p>
                <w:p w:rsidR="00122D66" w:rsidRPr="00122D66" w:rsidRDefault="00122D6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7F7C7C" w:rsidRDefault="007F7C7C" w:rsidP="00363107">
      <w:pPr>
        <w:rPr>
          <w:sz w:val="10"/>
          <w:szCs w:val="10"/>
          <w:lang w:val="en-US"/>
        </w:rPr>
      </w:pPr>
    </w:p>
    <w:p w:rsidR="00122D66" w:rsidRDefault="00122D66" w:rsidP="00122D66">
      <w:pPr>
        <w:ind w:left="1416"/>
        <w:rPr>
          <w:color w:val="006666"/>
          <w:lang w:val="en-US"/>
        </w:rPr>
      </w:pPr>
      <w:r w:rsidRPr="00122D66">
        <w:rPr>
          <w:color w:val="006666"/>
          <w:lang w:val="en-US"/>
        </w:rPr>
        <w:t>* Our recruitment process is free. Only if you got accepted and t</w:t>
      </w:r>
      <w:r w:rsidR="007F7C7C">
        <w:rPr>
          <w:color w:val="006666"/>
          <w:lang w:val="en-US"/>
        </w:rPr>
        <w:t>he company will confirm your app</w:t>
      </w:r>
      <w:r w:rsidRPr="00122D66">
        <w:rPr>
          <w:color w:val="006666"/>
          <w:lang w:val="en-US"/>
        </w:rPr>
        <w:t>lication we require administration fee. All our internships provide salary, so we guarantee that costs of the services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</w:t>
      </w:r>
      <w:r w:rsidR="007F7C7C">
        <w:rPr>
          <w:color w:val="006666"/>
          <w:lang w:val="en-US"/>
        </w:rPr>
        <w:t>s</w:t>
      </w:r>
      <w:r w:rsidRPr="00122D66">
        <w:rPr>
          <w:color w:val="006666"/>
          <w:lang w:val="en-US"/>
        </w:rPr>
        <w:t xml:space="preserve"> off.</w:t>
      </w:r>
    </w:p>
    <w:p w:rsidR="00D23DBE" w:rsidRPr="00612FA8" w:rsidRDefault="00363107" w:rsidP="00612FA8">
      <w:pPr>
        <w:ind w:left="1416"/>
        <w:rPr>
          <w:color w:val="006666"/>
          <w:lang w:val="en-US"/>
        </w:rPr>
      </w:pPr>
      <w:r>
        <w:rPr>
          <w:noProof/>
          <w:color w:val="006666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103505</wp:posOffset>
            </wp:positionV>
            <wp:extent cx="6496050" cy="742950"/>
            <wp:effectExtent l="19050" t="0" r="0" b="0"/>
            <wp:wrapNone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3325" cy="704850"/>
                      <a:chOff x="0" y="0"/>
                      <a:chExt cx="7553325" cy="704850"/>
                    </a:xfrm>
                  </a:grpSpPr>
                  <a:sp>
                    <a:nvSpPr>
                      <a:cNvPr id="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7553325" cy="7048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38100">
                        <a:solidFill>
                          <a:srgbClr val="243F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1066800" y="28575"/>
                        <a:ext cx="22955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Izabela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Zrazinska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r"/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Human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Resources</a:t>
                          </a:r>
                        </a:p>
                        <a:p>
                          <a:pPr algn="r"/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IES Consulting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4190999" y="28575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100" b="1">
                              <a:solidFill>
                                <a:schemeClr val="bg1"/>
                              </a:solidFill>
                            </a:rPr>
                            <a:t>C/ Ávila 138</a:t>
                          </a:r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08018 Barcelona	</a:t>
                          </a:r>
                        </a:p>
                        <a:p>
                          <a:pPr marL="0" marR="0" indent="0" defTabSz="91440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Tel: ESP +34 93 178 59 66  </a:t>
                          </a:r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POL +48 22 208 19 40</a:t>
                          </a:r>
                          <a:endParaRPr lang="es-ES" sz="1100" b="1">
                            <a:solidFill>
                              <a:schemeClr val="bg1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endParaRPr lang="es-ES" sz="1100" b="1" baseline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s-ES" sz="1100" b="1" baseline="0">
                              <a:solidFill>
                                <a:schemeClr val="bg1"/>
                              </a:solidFill>
                            </a:rPr>
                            <a:t>        </a:t>
                          </a:r>
                          <a:endParaRPr lang="es-ES" sz="1100" b="1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12" name="11 Imagen" descr="logo_ies_consulting.jp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3400425" y="104775"/>
                        <a:ext cx="790575" cy="46672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</w:p>
    <w:sectPr w:rsidR="00D23DBE" w:rsidRPr="00612FA8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D66"/>
    <w:rsid w:val="00122D66"/>
    <w:rsid w:val="00127BBE"/>
    <w:rsid w:val="00221BCA"/>
    <w:rsid w:val="002F7DF9"/>
    <w:rsid w:val="00334311"/>
    <w:rsid w:val="00363107"/>
    <w:rsid w:val="003B1D2F"/>
    <w:rsid w:val="00496C61"/>
    <w:rsid w:val="00575D82"/>
    <w:rsid w:val="00601163"/>
    <w:rsid w:val="00607571"/>
    <w:rsid w:val="00612FA8"/>
    <w:rsid w:val="007040EC"/>
    <w:rsid w:val="00714ABA"/>
    <w:rsid w:val="00777CCA"/>
    <w:rsid w:val="007D32B5"/>
    <w:rsid w:val="007F7C7C"/>
    <w:rsid w:val="008868B2"/>
    <w:rsid w:val="00890D1A"/>
    <w:rsid w:val="008D2CDC"/>
    <w:rsid w:val="008F1EF6"/>
    <w:rsid w:val="0094452F"/>
    <w:rsid w:val="00A3390E"/>
    <w:rsid w:val="00B52B4B"/>
    <w:rsid w:val="00B63468"/>
    <w:rsid w:val="00BA23C6"/>
    <w:rsid w:val="00C33AE7"/>
    <w:rsid w:val="00D11157"/>
    <w:rsid w:val="00D23DBE"/>
    <w:rsid w:val="00D31EA0"/>
    <w:rsid w:val="00E44ACA"/>
    <w:rsid w:val="00E56A89"/>
    <w:rsid w:val="00E76D39"/>
    <w:rsid w:val="00F06786"/>
    <w:rsid w:val="00F96EBF"/>
    <w:rsid w:val="00FA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6"/>
  </w:style>
  <w:style w:type="paragraph" w:styleId="Ttulo1">
    <w:name w:val="heading 1"/>
    <w:basedOn w:val="Normal"/>
    <w:link w:val="Ttulo1Car"/>
    <w:uiPriority w:val="9"/>
    <w:qFormat/>
    <w:rsid w:val="0061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12FA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C33AE7"/>
  </w:style>
  <w:style w:type="character" w:styleId="Hipervnculovisitado">
    <w:name w:val="FollowedHyperlink"/>
    <w:basedOn w:val="Fuentedeprrafopredeter"/>
    <w:uiPriority w:val="99"/>
    <w:semiHidden/>
    <w:unhideWhenUsed/>
    <w:rsid w:val="00C33A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s-consulting.pl/formularz_dla_student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Sophie</cp:lastModifiedBy>
  <cp:revision>2</cp:revision>
  <dcterms:created xsi:type="dcterms:W3CDTF">2015-10-15T13:34:00Z</dcterms:created>
  <dcterms:modified xsi:type="dcterms:W3CDTF">2015-10-15T13:34:00Z</dcterms:modified>
</cp:coreProperties>
</file>